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14:paraId="3B23CBFC" w14:textId="77777777" w:rsidR="0057270A" w:rsidRDefault="00A92F8E" w:rsidP="00B40882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11DC1" wp14:editId="50EF6282">
                <wp:simplePos x="0" y="0"/>
                <wp:positionH relativeFrom="column">
                  <wp:posOffset>-526211</wp:posOffset>
                </wp:positionH>
                <wp:positionV relativeFrom="paragraph">
                  <wp:posOffset>-552091</wp:posOffset>
                </wp:positionV>
                <wp:extent cx="4678878" cy="10869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1086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9CD4" w14:textId="77777777" w:rsidR="00A92F8E" w:rsidRPr="00F03FC0" w:rsidRDefault="00A92F8E" w:rsidP="00A92F8E">
                            <w:pPr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  <w:szCs w:val="48"/>
                              </w:rPr>
                              <w:t>Planning for Causality</w:t>
                            </w:r>
                          </w:p>
                          <w:p w14:paraId="13C94E28" w14:textId="77777777" w:rsidR="00A92F8E" w:rsidRPr="00EC5D3C" w:rsidRDefault="00A92F8E" w:rsidP="00A92F8E">
                            <w:pPr>
                              <w:rPr>
                                <w:rFonts w:ascii="Garamond" w:hAnsi="Garamond"/>
                                <w:i/>
                                <w:color w:val="C0000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C00000"/>
                                <w:sz w:val="32"/>
                                <w:szCs w:val="48"/>
                              </w:rPr>
                              <w:t xml:space="preserve">Practical recommendations for securing a sound evaluation design within the integrated planning </w:t>
                            </w:r>
                            <w:r w:rsidR="00785AC2">
                              <w:rPr>
                                <w:rFonts w:ascii="Garamond" w:hAnsi="Garamond"/>
                                <w:i/>
                                <w:color w:val="C00000"/>
                                <w:sz w:val="32"/>
                                <w:szCs w:val="48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299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-43.45pt;width:368.4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" filled="f" stroked="f">
                <v:textbox>
                  <w:txbxContent>
                    <w:p w:rsidR="00A92F8E" w:rsidRPr="00F03FC0" w:rsidRDefault="00A92F8E" w:rsidP="00A92F8E">
                      <w:pPr>
                        <w:rPr>
                          <w:rFonts w:ascii="Garamond" w:hAnsi="Garamond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48"/>
                          <w:szCs w:val="48"/>
                        </w:rPr>
                        <w:t>Planning for Causality</w:t>
                      </w:r>
                    </w:p>
                    <w:p w:rsidR="00A92F8E" w:rsidRPr="00EC5D3C" w:rsidRDefault="00A92F8E" w:rsidP="00A92F8E">
                      <w:pPr>
                        <w:rPr>
                          <w:rFonts w:ascii="Garamond" w:hAnsi="Garamond"/>
                          <w:i/>
                          <w:color w:val="C00000"/>
                          <w:sz w:val="32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C00000"/>
                          <w:sz w:val="32"/>
                          <w:szCs w:val="48"/>
                        </w:rPr>
                        <w:t xml:space="preserve">Practical recommendations for securing a sound evaluation design within the integrated planning </w:t>
                      </w:r>
                      <w:r w:rsidR="00785AC2">
                        <w:rPr>
                          <w:rFonts w:ascii="Garamond" w:hAnsi="Garamond"/>
                          <w:i/>
                          <w:color w:val="C00000"/>
                          <w:sz w:val="32"/>
                          <w:szCs w:val="48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57270A">
        <w:rPr>
          <w:noProof/>
        </w:rPr>
        <w:drawing>
          <wp:anchor distT="0" distB="0" distL="114300" distR="114300" simplePos="0" relativeHeight="251661312" behindDoc="1" locked="0" layoutInCell="1" allowOverlap="1" wp14:anchorId="0AA2F690" wp14:editId="28D9A3EB">
            <wp:simplePos x="0" y="0"/>
            <wp:positionH relativeFrom="column">
              <wp:posOffset>4167835</wp:posOffset>
            </wp:positionH>
            <wp:positionV relativeFrom="paragraph">
              <wp:posOffset>-521904</wp:posOffset>
            </wp:positionV>
            <wp:extent cx="2125683" cy="659661"/>
            <wp:effectExtent l="0" t="0" r="0" b="7620"/>
            <wp:wrapNone/>
            <wp:docPr id="2" name="Picture 2" descr="../Desktop/Prezi/IEPI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rezi/IEPI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83" cy="6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0A">
        <w:rPr>
          <w:noProof/>
        </w:rPr>
        <w:drawing>
          <wp:anchor distT="0" distB="0" distL="114300" distR="114300" simplePos="0" relativeHeight="251663360" behindDoc="0" locked="0" layoutInCell="1" allowOverlap="1" wp14:anchorId="40722B4A" wp14:editId="76F38335">
            <wp:simplePos x="0" y="0"/>
            <wp:positionH relativeFrom="column">
              <wp:posOffset>6257900</wp:posOffset>
            </wp:positionH>
            <wp:positionV relativeFrom="paragraph">
              <wp:posOffset>-562057</wp:posOffset>
            </wp:positionV>
            <wp:extent cx="2567635" cy="736600"/>
            <wp:effectExtent l="0" t="0" r="0" b="0"/>
            <wp:wrapNone/>
            <wp:docPr id="3" name="Picture 3" descr="../Desktop/Prezi/R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Prezi/RP%20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55A70" w14:textId="77777777" w:rsidR="0057270A" w:rsidRDefault="0057270A" w:rsidP="00B40882">
      <w:pPr>
        <w:rPr>
          <w:rFonts w:ascii="Garamond" w:hAnsi="Garamond"/>
          <w:sz w:val="24"/>
        </w:rPr>
      </w:pPr>
    </w:p>
    <w:p w14:paraId="507B5700" w14:textId="77777777" w:rsidR="00B40882" w:rsidRDefault="0067415F" w:rsidP="004270B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 all want to know what is working for our students, and we need da</w:t>
      </w:r>
      <w:r w:rsidR="006847F1">
        <w:rPr>
          <w:rFonts w:ascii="Garamond" w:hAnsi="Garamond"/>
          <w:sz w:val="24"/>
        </w:rPr>
        <w:t>ta and evidence to show it</w:t>
      </w:r>
      <w:r w:rsidR="00780571">
        <w:rPr>
          <w:rFonts w:ascii="Garamond" w:hAnsi="Garamond"/>
          <w:sz w:val="24"/>
        </w:rPr>
        <w:t>. But exactly</w:t>
      </w:r>
      <w:r>
        <w:rPr>
          <w:rFonts w:ascii="Garamond" w:hAnsi="Garamond"/>
          <w:sz w:val="24"/>
        </w:rPr>
        <w:t xml:space="preserve"> how to </w:t>
      </w:r>
      <w:r w:rsidR="006847F1">
        <w:rPr>
          <w:rFonts w:ascii="Garamond" w:hAnsi="Garamond"/>
          <w:sz w:val="24"/>
        </w:rPr>
        <w:t xml:space="preserve">secure </w:t>
      </w:r>
      <w:r w:rsidR="00780571">
        <w:rPr>
          <w:rFonts w:ascii="Garamond" w:hAnsi="Garamond"/>
          <w:sz w:val="24"/>
        </w:rPr>
        <w:t>the right</w:t>
      </w:r>
      <w:r w:rsidR="006847F1">
        <w:rPr>
          <w:rFonts w:ascii="Garamond" w:hAnsi="Garamond"/>
          <w:sz w:val="24"/>
        </w:rPr>
        <w:t xml:space="preserve"> evidence </w:t>
      </w:r>
      <w:r w:rsidR="006D7A35">
        <w:rPr>
          <w:rFonts w:ascii="Garamond" w:hAnsi="Garamond"/>
          <w:sz w:val="24"/>
        </w:rPr>
        <w:t>amidst the</w:t>
      </w:r>
      <w:r>
        <w:rPr>
          <w:rFonts w:ascii="Garamond" w:hAnsi="Garamond"/>
          <w:sz w:val="24"/>
        </w:rPr>
        <w:t xml:space="preserve"> </w:t>
      </w:r>
      <w:r w:rsidR="006D7A35">
        <w:rPr>
          <w:rFonts w:ascii="Garamond" w:hAnsi="Garamond"/>
          <w:sz w:val="24"/>
        </w:rPr>
        <w:t>torrent</w:t>
      </w:r>
      <w:r>
        <w:rPr>
          <w:rFonts w:ascii="Garamond" w:hAnsi="Garamond"/>
          <w:sz w:val="24"/>
        </w:rPr>
        <w:t xml:space="preserve"> of reports and statistics can be daunting. </w:t>
      </w:r>
      <w:r w:rsidR="00FA0DFB">
        <w:rPr>
          <w:rFonts w:ascii="Garamond" w:hAnsi="Garamond"/>
          <w:sz w:val="24"/>
        </w:rPr>
        <w:t xml:space="preserve">Perhaps most of us have heard of the randomized control trial (RCT)—that “gold standard” evaluation design for </w:t>
      </w:r>
      <w:r w:rsidR="006D7A35">
        <w:rPr>
          <w:rFonts w:ascii="Garamond" w:hAnsi="Garamond"/>
          <w:sz w:val="24"/>
        </w:rPr>
        <w:t>establishing causal claims;</w:t>
      </w:r>
      <w:r w:rsidR="00FA0DFB">
        <w:rPr>
          <w:rFonts w:ascii="Garamond" w:hAnsi="Garamond"/>
          <w:sz w:val="24"/>
        </w:rPr>
        <w:t xml:space="preserve"> however, we must</w:t>
      </w:r>
      <w:r w:rsidR="00B40882" w:rsidRPr="00B40882">
        <w:rPr>
          <w:rFonts w:ascii="Garamond" w:hAnsi="Garamond"/>
          <w:sz w:val="24"/>
        </w:rPr>
        <w:t xml:space="preserve"> face it: </w:t>
      </w:r>
      <w:r w:rsidR="00FA0DFB">
        <w:rPr>
          <w:rFonts w:ascii="Garamond" w:hAnsi="Garamond"/>
          <w:sz w:val="24"/>
        </w:rPr>
        <w:t>the RCT</w:t>
      </w:r>
      <w:r w:rsidR="00B40882">
        <w:rPr>
          <w:rFonts w:ascii="Garamond" w:hAnsi="Garamond"/>
          <w:sz w:val="24"/>
        </w:rPr>
        <w:t xml:space="preserve"> is extremely difficult to implement in the community college setting. This doesn’t mean</w:t>
      </w:r>
      <w:r w:rsidR="00FA0DFB">
        <w:rPr>
          <w:rFonts w:ascii="Garamond" w:hAnsi="Garamond"/>
          <w:sz w:val="24"/>
        </w:rPr>
        <w:t xml:space="preserve"> it can’t be done, just that it is highly unlikely. </w:t>
      </w:r>
      <w:r w:rsidR="00782F9E">
        <w:rPr>
          <w:rFonts w:ascii="Garamond" w:hAnsi="Garamond"/>
          <w:sz w:val="24"/>
        </w:rPr>
        <w:t>Suppose this ideal doesn’t</w:t>
      </w:r>
      <w:r w:rsidR="00780571">
        <w:rPr>
          <w:rFonts w:ascii="Garamond" w:hAnsi="Garamond"/>
          <w:sz w:val="24"/>
        </w:rPr>
        <w:t xml:space="preserve"> manifest in</w:t>
      </w:r>
      <w:r w:rsidR="00782F9E">
        <w:rPr>
          <w:rFonts w:ascii="Garamond" w:hAnsi="Garamond"/>
          <w:sz w:val="24"/>
        </w:rPr>
        <w:t>to</w:t>
      </w:r>
      <w:r w:rsidR="00780571">
        <w:rPr>
          <w:rFonts w:ascii="Garamond" w:hAnsi="Garamond"/>
          <w:sz w:val="24"/>
        </w:rPr>
        <w:t xml:space="preserve"> </w:t>
      </w:r>
      <w:r w:rsidR="004D41D0">
        <w:rPr>
          <w:rFonts w:ascii="Garamond" w:hAnsi="Garamond"/>
          <w:sz w:val="24"/>
        </w:rPr>
        <w:t>reality</w:t>
      </w:r>
      <w:r w:rsidR="00FA0DFB">
        <w:rPr>
          <w:rFonts w:ascii="Garamond" w:hAnsi="Garamond"/>
          <w:sz w:val="24"/>
        </w:rPr>
        <w:t>, what does this mean for</w:t>
      </w:r>
      <w:r w:rsidR="00B40882">
        <w:rPr>
          <w:rFonts w:ascii="Garamond" w:hAnsi="Garamond"/>
          <w:sz w:val="24"/>
        </w:rPr>
        <w:t xml:space="preserve"> </w:t>
      </w:r>
      <w:r w:rsidR="00FA0DFB">
        <w:rPr>
          <w:rFonts w:ascii="Garamond" w:hAnsi="Garamond"/>
          <w:sz w:val="24"/>
        </w:rPr>
        <w:t>those</w:t>
      </w:r>
      <w:r w:rsidR="00B40882">
        <w:rPr>
          <w:rFonts w:ascii="Garamond" w:hAnsi="Garamond"/>
          <w:sz w:val="24"/>
        </w:rPr>
        <w:t xml:space="preserve"> program implementers, overseers, administrators and staff</w:t>
      </w:r>
      <w:r w:rsidR="00FA0DFB">
        <w:rPr>
          <w:rFonts w:ascii="Garamond" w:hAnsi="Garamond"/>
          <w:sz w:val="24"/>
        </w:rPr>
        <w:t xml:space="preserve"> who </w:t>
      </w:r>
      <w:r w:rsidR="006E29C4">
        <w:rPr>
          <w:rFonts w:ascii="Garamond" w:hAnsi="Garamond"/>
          <w:sz w:val="24"/>
        </w:rPr>
        <w:t xml:space="preserve">need </w:t>
      </w:r>
      <w:r w:rsidR="00FA0DFB">
        <w:rPr>
          <w:rFonts w:ascii="Garamond" w:hAnsi="Garamond"/>
          <w:sz w:val="24"/>
        </w:rPr>
        <w:t>concrete answers</w:t>
      </w:r>
      <w:r w:rsidR="006E29C4">
        <w:rPr>
          <w:rFonts w:ascii="Garamond" w:hAnsi="Garamond"/>
          <w:sz w:val="24"/>
        </w:rPr>
        <w:t xml:space="preserve"> to</w:t>
      </w:r>
      <w:r w:rsidR="00557970">
        <w:rPr>
          <w:rFonts w:ascii="Garamond" w:hAnsi="Garamond"/>
          <w:sz w:val="24"/>
        </w:rPr>
        <w:t xml:space="preserve"> </w:t>
      </w:r>
      <w:r w:rsidR="006E29C4">
        <w:rPr>
          <w:rFonts w:ascii="Garamond" w:hAnsi="Garamond"/>
          <w:sz w:val="24"/>
        </w:rPr>
        <w:t>best serve their students</w:t>
      </w:r>
      <w:r w:rsidR="00FA0DFB">
        <w:rPr>
          <w:rFonts w:ascii="Garamond" w:hAnsi="Garamond"/>
          <w:sz w:val="24"/>
        </w:rPr>
        <w:t xml:space="preserve">? </w:t>
      </w:r>
      <w:r w:rsidR="00AB2BA9">
        <w:rPr>
          <w:rFonts w:ascii="Garamond" w:hAnsi="Garamond"/>
          <w:sz w:val="24"/>
        </w:rPr>
        <w:t>How do we answer that perennial question, “did it work?”</w:t>
      </w:r>
    </w:p>
    <w:p w14:paraId="26C56C73" w14:textId="77777777" w:rsidR="002F00AF" w:rsidRPr="002F00AF" w:rsidRDefault="006D7A35" w:rsidP="004270B5">
      <w:pPr>
        <w:tabs>
          <w:tab w:val="left" w:pos="325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Thankfully, </w:t>
      </w:r>
      <w:r w:rsidR="004D41D0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>Integrated Planning</w:t>
      </w:r>
      <w:r w:rsidR="00E87F58">
        <w:rPr>
          <w:rFonts w:ascii="Garamond" w:hAnsi="Garamond"/>
          <w:sz w:val="24"/>
        </w:rPr>
        <w:t xml:space="preserve"> (IP)</w:t>
      </w:r>
      <w:r w:rsidR="00977CE4">
        <w:rPr>
          <w:rFonts w:ascii="Garamond" w:hAnsi="Garamond"/>
          <w:sz w:val="24"/>
        </w:rPr>
        <w:t xml:space="preserve"> Model can help with this,</w:t>
      </w:r>
      <w:r>
        <w:rPr>
          <w:rFonts w:ascii="Garamond" w:hAnsi="Garamond"/>
          <w:sz w:val="24"/>
        </w:rPr>
        <w:t xml:space="preserve"> and here’s how: by</w:t>
      </w:r>
      <w:r w:rsidR="004D41D0">
        <w:rPr>
          <w:rFonts w:ascii="Garamond" w:hAnsi="Garamond"/>
          <w:sz w:val="24"/>
        </w:rPr>
        <w:t xml:space="preserve"> </w:t>
      </w:r>
      <w:r w:rsidR="00EF5C19">
        <w:rPr>
          <w:rFonts w:ascii="Garamond" w:hAnsi="Garamond"/>
          <w:sz w:val="24"/>
        </w:rPr>
        <w:t>integrating</w:t>
      </w:r>
      <w:r w:rsidR="004D41D0">
        <w:rPr>
          <w:rFonts w:ascii="Garamond" w:hAnsi="Garamond"/>
          <w:sz w:val="24"/>
        </w:rPr>
        <w:t xml:space="preserve"> </w:t>
      </w:r>
      <w:r w:rsidR="00EF5C19">
        <w:rPr>
          <w:rFonts w:ascii="Garamond" w:hAnsi="Garamond"/>
          <w:sz w:val="24"/>
        </w:rPr>
        <w:t>evaluation planning</w:t>
      </w:r>
      <w:r>
        <w:rPr>
          <w:rFonts w:ascii="Garamond" w:hAnsi="Garamond"/>
          <w:sz w:val="24"/>
        </w:rPr>
        <w:t xml:space="preserve">, the data needed, and the </w:t>
      </w:r>
      <w:r w:rsidR="004E7914">
        <w:rPr>
          <w:rFonts w:ascii="Garamond" w:hAnsi="Garamond"/>
          <w:sz w:val="24"/>
        </w:rPr>
        <w:t>analysis</w:t>
      </w:r>
      <w:r w:rsidR="00977CE4">
        <w:rPr>
          <w:rFonts w:ascii="Garamond" w:hAnsi="Garamond"/>
          <w:sz w:val="24"/>
        </w:rPr>
        <w:t xml:space="preserve"> with</w:t>
      </w:r>
      <w:r w:rsidR="008256B0">
        <w:rPr>
          <w:rFonts w:ascii="Garamond" w:hAnsi="Garamond"/>
          <w:sz w:val="24"/>
        </w:rPr>
        <w:t>in the overall planning process—</w:t>
      </w:r>
      <w:r w:rsidR="00977CE4">
        <w:rPr>
          <w:rFonts w:ascii="Garamond" w:hAnsi="Garamond"/>
          <w:sz w:val="24"/>
        </w:rPr>
        <w:t>and</w:t>
      </w:r>
      <w:r w:rsidR="008256B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from the outset. The IP Model suggests this kind of framework, which will help Institutional Research offices in </w:t>
      </w:r>
      <w:r w:rsidR="003A67A4">
        <w:rPr>
          <w:rFonts w:ascii="Garamond" w:hAnsi="Garamond"/>
          <w:sz w:val="24"/>
        </w:rPr>
        <w:t xml:space="preserve">collecting the </w:t>
      </w:r>
      <w:proofErr w:type="gramStart"/>
      <w:r w:rsidR="003A67A4">
        <w:rPr>
          <w:rFonts w:ascii="Garamond" w:hAnsi="Garamond"/>
          <w:sz w:val="24"/>
        </w:rPr>
        <w:t xml:space="preserve">most </w:t>
      </w:r>
      <w:bookmarkStart w:id="0" w:name="_GoBack"/>
      <w:bookmarkEnd w:id="0"/>
      <w:r w:rsidR="00E87F58">
        <w:rPr>
          <w:rFonts w:ascii="Garamond" w:hAnsi="Garamond"/>
          <w:sz w:val="24"/>
        </w:rPr>
        <w:t>sound</w:t>
      </w:r>
      <w:proofErr w:type="gramEnd"/>
      <w:r w:rsidR="00E87F58">
        <w:rPr>
          <w:rFonts w:ascii="Garamond" w:hAnsi="Garamond"/>
          <w:sz w:val="24"/>
        </w:rPr>
        <w:t xml:space="preserve"> evidence</w:t>
      </w:r>
      <w:r w:rsidR="004E7914">
        <w:rPr>
          <w:rFonts w:ascii="Garamond" w:hAnsi="Garamond"/>
          <w:sz w:val="24"/>
        </w:rPr>
        <w:t xml:space="preserve">. </w:t>
      </w:r>
      <w:r w:rsidR="00E87F58">
        <w:rPr>
          <w:rFonts w:ascii="Garamond" w:hAnsi="Garamond"/>
          <w:sz w:val="24"/>
        </w:rPr>
        <w:t>As such, e</w:t>
      </w:r>
      <w:r w:rsidR="002F00AF">
        <w:rPr>
          <w:rFonts w:ascii="Garamond" w:hAnsi="Garamond"/>
          <w:sz w:val="24"/>
        </w:rPr>
        <w:t xml:space="preserve">valuation </w:t>
      </w:r>
      <w:r w:rsidR="00E87F58">
        <w:rPr>
          <w:rFonts w:ascii="Garamond" w:hAnsi="Garamond"/>
          <w:sz w:val="24"/>
        </w:rPr>
        <w:t>designs for causality</w:t>
      </w:r>
      <w:r w:rsidR="001E34AD">
        <w:rPr>
          <w:rFonts w:ascii="Garamond" w:hAnsi="Garamond"/>
          <w:sz w:val="24"/>
        </w:rPr>
        <w:t xml:space="preserve"> (impact evaluations)</w:t>
      </w:r>
      <w:r w:rsidR="002F00AF">
        <w:rPr>
          <w:rFonts w:ascii="Garamond" w:hAnsi="Garamond"/>
          <w:sz w:val="24"/>
        </w:rPr>
        <w:t xml:space="preserve"> will </w:t>
      </w:r>
      <w:r w:rsidR="008256B0">
        <w:rPr>
          <w:rFonts w:ascii="Garamond" w:hAnsi="Garamond"/>
          <w:sz w:val="24"/>
        </w:rPr>
        <w:t xml:space="preserve">prove </w:t>
      </w:r>
      <w:r w:rsidR="00E87F58">
        <w:rPr>
          <w:rFonts w:ascii="Garamond" w:hAnsi="Garamond"/>
          <w:sz w:val="24"/>
        </w:rPr>
        <w:t xml:space="preserve">more </w:t>
      </w:r>
      <w:r w:rsidR="001E34AD">
        <w:rPr>
          <w:rFonts w:ascii="Garamond" w:hAnsi="Garamond"/>
          <w:sz w:val="24"/>
        </w:rPr>
        <w:t>profitable</w:t>
      </w:r>
      <w:r w:rsidR="002F00AF">
        <w:rPr>
          <w:rFonts w:ascii="Garamond" w:hAnsi="Garamond"/>
          <w:sz w:val="24"/>
        </w:rPr>
        <w:t xml:space="preserve"> if they arise from a collaborative effort between two fundamental parties (although, probably much more than two): Program Planners/Implementers and Institutional Research.</w:t>
      </w:r>
      <w:r w:rsidR="002F00AF" w:rsidRPr="002F00AF">
        <w:rPr>
          <w:noProof/>
        </w:rPr>
        <w:t xml:space="preserve"> </w:t>
      </w:r>
      <w:r w:rsidR="002F00AF">
        <w:rPr>
          <w:rFonts w:ascii="Garamond" w:hAnsi="Garamond"/>
          <w:sz w:val="24"/>
        </w:rPr>
        <w:t>There are five phases of the IP Model, but the most crucial for designing and executing an impact evaluation are the phases Develop, Implement, an</w:t>
      </w:r>
      <w:r w:rsidR="008256B0">
        <w:rPr>
          <w:rFonts w:ascii="Garamond" w:hAnsi="Garamond"/>
          <w:sz w:val="24"/>
        </w:rPr>
        <w:t>d Evaluate; therefore</w:t>
      </w:r>
      <w:r w:rsidR="001E34AD">
        <w:rPr>
          <w:rFonts w:ascii="Garamond" w:hAnsi="Garamond"/>
          <w:sz w:val="24"/>
        </w:rPr>
        <w:t xml:space="preserve">, </w:t>
      </w:r>
      <w:r w:rsidR="00EE671F">
        <w:rPr>
          <w:rFonts w:ascii="Garamond" w:hAnsi="Garamond"/>
          <w:sz w:val="24"/>
        </w:rPr>
        <w:t>nine</w:t>
      </w:r>
      <w:r w:rsidR="002F00AF">
        <w:rPr>
          <w:rFonts w:ascii="Garamond" w:hAnsi="Garamond"/>
          <w:sz w:val="24"/>
        </w:rPr>
        <w:t xml:space="preserve"> practical recommendations for facilitating a t</w:t>
      </w:r>
      <w:r w:rsidR="00EE671F">
        <w:rPr>
          <w:rFonts w:ascii="Garamond" w:hAnsi="Garamond"/>
          <w:sz w:val="24"/>
        </w:rPr>
        <w:t>heory-driven evaluation process—</w:t>
      </w:r>
      <w:r w:rsidR="001E34AD">
        <w:rPr>
          <w:rFonts w:ascii="Garamond" w:hAnsi="Garamond"/>
          <w:sz w:val="24"/>
        </w:rPr>
        <w:t>with</w:t>
      </w:r>
      <w:r w:rsidR="00EE671F">
        <w:rPr>
          <w:rFonts w:ascii="Garamond" w:hAnsi="Garamond"/>
          <w:sz w:val="24"/>
        </w:rPr>
        <w:t xml:space="preserve"> </w:t>
      </w:r>
      <w:r w:rsidR="002F00AF">
        <w:rPr>
          <w:rFonts w:ascii="Garamond" w:hAnsi="Garamond"/>
          <w:sz w:val="24"/>
        </w:rPr>
        <w:t>causality</w:t>
      </w:r>
      <w:r w:rsidR="001E34AD">
        <w:rPr>
          <w:rFonts w:ascii="Garamond" w:hAnsi="Garamond"/>
          <w:sz w:val="24"/>
        </w:rPr>
        <w:t xml:space="preserve"> in mind</w:t>
      </w:r>
      <w:r w:rsidR="00EE671F">
        <w:rPr>
          <w:rFonts w:ascii="Garamond" w:hAnsi="Garamond"/>
          <w:sz w:val="24"/>
        </w:rPr>
        <w:t>—</w:t>
      </w:r>
      <w:r w:rsidR="002F00AF">
        <w:rPr>
          <w:rFonts w:ascii="Garamond" w:hAnsi="Garamond"/>
          <w:sz w:val="24"/>
        </w:rPr>
        <w:t>can</w:t>
      </w:r>
      <w:r w:rsidR="00EE671F">
        <w:rPr>
          <w:rFonts w:ascii="Garamond" w:hAnsi="Garamond"/>
          <w:sz w:val="24"/>
        </w:rPr>
        <w:t xml:space="preserve"> </w:t>
      </w:r>
      <w:r w:rsidR="002F00AF">
        <w:rPr>
          <w:rFonts w:ascii="Garamond" w:hAnsi="Garamond"/>
          <w:sz w:val="24"/>
        </w:rPr>
        <w:t xml:space="preserve">be mapped </w:t>
      </w:r>
      <w:r w:rsidR="001E34AD">
        <w:rPr>
          <w:rFonts w:ascii="Garamond" w:hAnsi="Garamond"/>
          <w:sz w:val="24"/>
        </w:rPr>
        <w:t>directly to</w:t>
      </w:r>
      <w:r w:rsidR="002F00AF">
        <w:rPr>
          <w:rFonts w:ascii="Garamond" w:hAnsi="Garamond"/>
          <w:sz w:val="24"/>
        </w:rPr>
        <w:t xml:space="preserve"> the</w:t>
      </w:r>
      <w:r w:rsidR="001E34AD">
        <w:rPr>
          <w:rFonts w:ascii="Garamond" w:hAnsi="Garamond"/>
          <w:sz w:val="24"/>
        </w:rPr>
        <w:t>se</w:t>
      </w:r>
      <w:r w:rsidR="002F00AF">
        <w:rPr>
          <w:rFonts w:ascii="Garamond" w:hAnsi="Garamond"/>
          <w:sz w:val="24"/>
        </w:rPr>
        <w:t xml:space="preserve"> phases of the IP Model</w:t>
      </w:r>
      <w:r w:rsidR="001E34AD">
        <w:rPr>
          <w:rFonts w:ascii="Garamond" w:hAnsi="Garamond"/>
          <w:sz w:val="24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6495"/>
        <w:tblW w:w="1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7"/>
        <w:gridCol w:w="1401"/>
      </w:tblGrid>
      <w:tr w:rsidR="004B16E2" w14:paraId="4B22652A" w14:textId="77777777" w:rsidTr="004B16E2">
        <w:trPr>
          <w:trHeight w:val="90"/>
        </w:trPr>
        <w:tc>
          <w:tcPr>
            <w:tcW w:w="12847" w:type="dxa"/>
            <w:tcBorders>
              <w:bottom w:val="single" w:sz="4" w:space="0" w:color="auto"/>
            </w:tcBorders>
          </w:tcPr>
          <w:p w14:paraId="7EDE3C42" w14:textId="77777777" w:rsidR="00A92F8E" w:rsidRPr="00557970" w:rsidRDefault="00A92F8E" w:rsidP="00A92F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57970">
              <w:rPr>
                <w:rFonts w:ascii="Garamond" w:hAnsi="Garamond"/>
                <w:b/>
                <w:sz w:val="24"/>
              </w:rPr>
              <w:t>Practical Recommendation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EBAB0EE" w14:textId="77777777" w:rsidR="00A92F8E" w:rsidRPr="00557970" w:rsidRDefault="00A92F8E" w:rsidP="00A92F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57970">
              <w:rPr>
                <w:rFonts w:ascii="Garamond" w:hAnsi="Garamond"/>
                <w:b/>
                <w:sz w:val="24"/>
              </w:rPr>
              <w:t>IP Phase</w:t>
            </w:r>
          </w:p>
        </w:tc>
      </w:tr>
      <w:tr w:rsidR="004B16E2" w14:paraId="15F56026" w14:textId="77777777" w:rsidTr="004B16E2">
        <w:tc>
          <w:tcPr>
            <w:tcW w:w="12847" w:type="dxa"/>
            <w:tcBorders>
              <w:top w:val="single" w:sz="4" w:space="0" w:color="auto"/>
              <w:right w:val="single" w:sz="4" w:space="0" w:color="auto"/>
            </w:tcBorders>
          </w:tcPr>
          <w:p w14:paraId="018FD9C6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 xml:space="preserve">Initiate and facilitate meetings that incorporate evaluation processes well before service or program implementation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14:paraId="06A2286C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Develop</w:t>
            </w:r>
          </w:p>
        </w:tc>
      </w:tr>
      <w:tr w:rsidR="00A92F8E" w14:paraId="42A49A28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01765786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>Gain thorough understanding of the phenomenon under study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4086F5A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Develop</w:t>
            </w:r>
          </w:p>
        </w:tc>
      </w:tr>
      <w:tr w:rsidR="00A92F8E" w14:paraId="2E7A2967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3FBACC78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>Explicitly work with grant directors and service implementers in drafting the program theory (or logic model)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7C42EC8F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Develop</w:t>
            </w:r>
          </w:p>
        </w:tc>
      </w:tr>
      <w:tr w:rsidR="00A92F8E" w14:paraId="0EEECE3A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1F932D36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>Critically assess the plausibility of causal linkages outlined in the program theory (or logic model)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6C3A2D75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Develop</w:t>
            </w:r>
          </w:p>
        </w:tc>
      </w:tr>
      <w:tr w:rsidR="00A92F8E" w14:paraId="3F41BA79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7A6A501F" w14:textId="77777777" w:rsidR="00A92F8E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 xml:space="preserve">Prioritize essential questions that must be addressed and </w:t>
            </w:r>
            <w:r w:rsidR="00C34BF7">
              <w:rPr>
                <w:rFonts w:ascii="Garamond" w:hAnsi="Garamond"/>
                <w:sz w:val="24"/>
              </w:rPr>
              <w:t>identity what information would be needed to answer them</w:t>
            </w:r>
          </w:p>
          <w:p w14:paraId="5B90B949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Design an evaluation alongside program implementation (consider the campus resources and viability and choose a design that can be readily executed to answer the prioritized questions)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A210175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Implement</w:t>
            </w:r>
          </w:p>
        </w:tc>
      </w:tr>
      <w:tr w:rsidR="00A92F8E" w14:paraId="6F1A5B23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579B8D0C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 w:rsidRPr="005352BB">
              <w:rPr>
                <w:rFonts w:ascii="Garamond" w:hAnsi="Garamond"/>
                <w:sz w:val="24"/>
              </w:rPr>
              <w:t>Coach data collection process and broaden these procedures to capture relevant mediating and moderating variables that are outside of student database and tracking systems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057EDE14" w14:textId="77777777" w:rsidR="00A92F8E" w:rsidRPr="00557970" w:rsidRDefault="00A92F8E" w:rsidP="00A92F8E">
            <w:pPr>
              <w:jc w:val="center"/>
              <w:rPr>
                <w:rFonts w:ascii="Garamond" w:hAnsi="Garamond"/>
              </w:rPr>
            </w:pPr>
            <w:r w:rsidRPr="00557970">
              <w:rPr>
                <w:rFonts w:ascii="Garamond" w:hAnsi="Garamond"/>
              </w:rPr>
              <w:t>Implement</w:t>
            </w:r>
          </w:p>
        </w:tc>
      </w:tr>
      <w:tr w:rsidR="00A92F8E" w14:paraId="0D2F2D8B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61273E8E" w14:textId="77777777" w:rsidR="00A92F8E" w:rsidRPr="005352BB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Analyze the causal linkages using robust statistical or quasi-experimental techniques (contingent on the evaluation questions)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997BCB5" w14:textId="77777777" w:rsidR="00A92F8E" w:rsidRPr="006F2DBE" w:rsidRDefault="00A92F8E" w:rsidP="00A92F8E">
            <w:pPr>
              <w:jc w:val="center"/>
              <w:rPr>
                <w:rFonts w:ascii="Garamond" w:hAnsi="Garamond"/>
              </w:rPr>
            </w:pPr>
            <w:r w:rsidRPr="006F2DBE">
              <w:rPr>
                <w:rFonts w:ascii="Garamond" w:hAnsi="Garamond"/>
              </w:rPr>
              <w:t>Evaluate</w:t>
            </w:r>
          </w:p>
        </w:tc>
      </w:tr>
      <w:tr w:rsidR="00A92F8E" w14:paraId="600FC67B" w14:textId="77777777" w:rsidTr="004B16E2">
        <w:tc>
          <w:tcPr>
            <w:tcW w:w="12847" w:type="dxa"/>
            <w:tcBorders>
              <w:right w:val="single" w:sz="4" w:space="0" w:color="auto"/>
            </w:tcBorders>
          </w:tcPr>
          <w:p w14:paraId="65F2F367" w14:textId="77777777" w:rsidR="00A92F8E" w:rsidRDefault="00A92F8E" w:rsidP="00A92F8E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</w:tabs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Analyze unanticipated (alongside anticipated) consequences 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470A251" w14:textId="77777777" w:rsidR="00A92F8E" w:rsidRPr="006F2DBE" w:rsidRDefault="00A92F8E" w:rsidP="00A92F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Evaluate</w:t>
            </w:r>
          </w:p>
        </w:tc>
      </w:tr>
    </w:tbl>
    <w:p w14:paraId="583E3A58" w14:textId="77777777" w:rsidR="002F00AF" w:rsidRDefault="007769A6" w:rsidP="002F00AF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D7379" wp14:editId="7443E676">
                <wp:simplePos x="0" y="0"/>
                <wp:positionH relativeFrom="margin">
                  <wp:posOffset>-508779</wp:posOffset>
                </wp:positionH>
                <wp:positionV relativeFrom="paragraph">
                  <wp:posOffset>2212651</wp:posOffset>
                </wp:positionV>
                <wp:extent cx="4678878" cy="491706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3504" w14:textId="77777777" w:rsidR="00A92F8E" w:rsidRPr="00EC5D3C" w:rsidRDefault="00A92F8E" w:rsidP="00A92F8E">
                            <w:pPr>
                              <w:rPr>
                                <w:rFonts w:ascii="Garamond" w:hAnsi="Garamond"/>
                                <w:i/>
                                <w:color w:val="C0000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  <w:szCs w:val="4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385775" id="_x0000_s1027" type="#_x0000_t202" style="position:absolute;margin-left:-40.05pt;margin-top:174.2pt;width:368.4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" filled="f" stroked="f">
                <v:textbox>
                  <w:txbxContent>
                    <w:p w:rsidR="00A92F8E" w:rsidRPr="00EC5D3C" w:rsidRDefault="00A92F8E" w:rsidP="00A92F8E">
                      <w:pPr>
                        <w:rPr>
                          <w:rFonts w:ascii="Garamond" w:hAnsi="Garamond"/>
                          <w:i/>
                          <w:color w:val="C00000"/>
                          <w:sz w:val="32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48"/>
                          <w:szCs w:val="48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F99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ED204B" wp14:editId="02FCDEF3">
                <wp:simplePos x="0" y="0"/>
                <wp:positionH relativeFrom="column">
                  <wp:posOffset>-401955</wp:posOffset>
                </wp:positionH>
                <wp:positionV relativeFrom="paragraph">
                  <wp:posOffset>2659859</wp:posOffset>
                </wp:positionV>
                <wp:extent cx="8117457" cy="517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7457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CBA" w14:textId="77777777" w:rsidR="00A92F8E" w:rsidRPr="00A92F8E" w:rsidRDefault="00A92F8E" w:rsidP="00A92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</w:pPr>
                            <w:r w:rsidRPr="00A92F8E"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  <w:t xml:space="preserve">Chen, H. T. (1990). </w:t>
                            </w:r>
                            <w:r w:rsidRPr="00A92F8E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Cs w:val="24"/>
                              </w:rPr>
                              <w:t>Theory-driven evaluations</w:t>
                            </w:r>
                            <w:r w:rsidRPr="00A92F8E"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  <w:t>. Sage.</w:t>
                            </w:r>
                          </w:p>
                          <w:p w14:paraId="6F1C95A2" w14:textId="77777777" w:rsidR="00A92F8E" w:rsidRPr="00A92F8E" w:rsidRDefault="00A92F8E" w:rsidP="00A92F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</w:pPr>
                            <w:r w:rsidRPr="00A92F8E"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  <w:t xml:space="preserve">Chen, H. T. (2014). </w:t>
                            </w:r>
                            <w:r w:rsidRPr="00A92F8E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Cs w:val="24"/>
                              </w:rPr>
                              <w:t>Practical program evaluation: Theory-driven evaluation and the integrated evaluation perspective</w:t>
                            </w:r>
                            <w:r w:rsidRPr="00A92F8E">
                              <w:rPr>
                                <w:rFonts w:ascii="Garamond" w:eastAsia="Times New Roman" w:hAnsi="Garamond" w:cs="Times New Roman"/>
                                <w:szCs w:val="24"/>
                              </w:rPr>
                              <w:t>. SAGE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FC9BE5" id="_x0000_s1028" type="#_x0000_t202" style="position:absolute;margin-left:-31.65pt;margin-top:209.45pt;width:639.15pt;height:40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" filled="f" stroked="f">
                <v:textbox>
                  <w:txbxContent>
                    <w:p w:rsidR="00A92F8E" w:rsidRPr="00A92F8E" w:rsidRDefault="00A92F8E" w:rsidP="00A92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szCs w:val="24"/>
                        </w:rPr>
                      </w:pPr>
                      <w:r w:rsidRPr="00A92F8E">
                        <w:rPr>
                          <w:rFonts w:ascii="Garamond" w:eastAsia="Times New Roman" w:hAnsi="Garamond" w:cs="Times New Roman"/>
                          <w:szCs w:val="24"/>
                        </w:rPr>
                        <w:t xml:space="preserve">Chen, H. T. (1990). </w:t>
                      </w:r>
                      <w:r w:rsidRPr="00A92F8E">
                        <w:rPr>
                          <w:rFonts w:ascii="Garamond" w:eastAsia="Times New Roman" w:hAnsi="Garamond" w:cs="Times New Roman"/>
                          <w:i/>
                          <w:iCs/>
                          <w:szCs w:val="24"/>
                        </w:rPr>
                        <w:t>Theory-driven evaluations</w:t>
                      </w:r>
                      <w:r w:rsidRPr="00A92F8E">
                        <w:rPr>
                          <w:rFonts w:ascii="Garamond" w:eastAsia="Times New Roman" w:hAnsi="Garamond" w:cs="Times New Roman"/>
                          <w:szCs w:val="24"/>
                        </w:rPr>
                        <w:t>. Sage.</w:t>
                      </w:r>
                    </w:p>
                    <w:p w:rsidR="00A92F8E" w:rsidRPr="00A92F8E" w:rsidRDefault="00A92F8E" w:rsidP="00A92F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szCs w:val="24"/>
                        </w:rPr>
                      </w:pPr>
                      <w:r w:rsidRPr="00A92F8E">
                        <w:rPr>
                          <w:rFonts w:ascii="Garamond" w:eastAsia="Times New Roman" w:hAnsi="Garamond" w:cs="Times New Roman"/>
                          <w:szCs w:val="24"/>
                        </w:rPr>
                        <w:t xml:space="preserve">Chen, H. T. (2014). </w:t>
                      </w:r>
                      <w:r w:rsidRPr="00A92F8E">
                        <w:rPr>
                          <w:rFonts w:ascii="Garamond" w:eastAsia="Times New Roman" w:hAnsi="Garamond" w:cs="Times New Roman"/>
                          <w:i/>
                          <w:iCs/>
                          <w:szCs w:val="24"/>
                        </w:rPr>
                        <w:t>Practical program evaluation: Theory-driven evaluation and the integrated evaluation perspective</w:t>
                      </w:r>
                      <w:r w:rsidRPr="00A92F8E">
                        <w:rPr>
                          <w:rFonts w:ascii="Garamond" w:eastAsia="Times New Roman" w:hAnsi="Garamond" w:cs="Times New Roman"/>
                          <w:szCs w:val="24"/>
                        </w:rPr>
                        <w:t>. SAGE Publications.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0AF" w:rsidSect="001E529D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1C2F" w14:textId="77777777" w:rsidR="00E91F59" w:rsidRDefault="00E91F59" w:rsidP="00C01179">
      <w:pPr>
        <w:spacing w:after="0" w:line="240" w:lineRule="auto"/>
      </w:pPr>
      <w:r>
        <w:separator/>
      </w:r>
    </w:p>
  </w:endnote>
  <w:endnote w:type="continuationSeparator" w:id="0">
    <w:p w14:paraId="1104AB62" w14:textId="77777777" w:rsidR="00E91F59" w:rsidRDefault="00E91F59" w:rsidP="00C0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86C8" w14:textId="77777777" w:rsidR="00E91F59" w:rsidRDefault="00E91F59" w:rsidP="00C01179">
      <w:pPr>
        <w:spacing w:after="0" w:line="240" w:lineRule="auto"/>
      </w:pPr>
      <w:r>
        <w:separator/>
      </w:r>
    </w:p>
  </w:footnote>
  <w:footnote w:type="continuationSeparator" w:id="0">
    <w:p w14:paraId="51FFABB6" w14:textId="77777777" w:rsidR="00E91F59" w:rsidRDefault="00E91F59" w:rsidP="00C0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7F2"/>
    <w:multiLevelType w:val="hybridMultilevel"/>
    <w:tmpl w:val="2B7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71E1"/>
    <w:multiLevelType w:val="hybridMultilevel"/>
    <w:tmpl w:val="0AB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7A1"/>
    <w:multiLevelType w:val="hybridMultilevel"/>
    <w:tmpl w:val="635C1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2"/>
    <w:rsid w:val="000237EB"/>
    <w:rsid w:val="00142F52"/>
    <w:rsid w:val="00154E18"/>
    <w:rsid w:val="001E34AD"/>
    <w:rsid w:val="001E529D"/>
    <w:rsid w:val="00202224"/>
    <w:rsid w:val="002124C4"/>
    <w:rsid w:val="00283970"/>
    <w:rsid w:val="002F00AF"/>
    <w:rsid w:val="003672C4"/>
    <w:rsid w:val="003A55E8"/>
    <w:rsid w:val="003A67A4"/>
    <w:rsid w:val="004270B5"/>
    <w:rsid w:val="004414D6"/>
    <w:rsid w:val="004B16E2"/>
    <w:rsid w:val="004C34BA"/>
    <w:rsid w:val="004D1A9E"/>
    <w:rsid w:val="004D41D0"/>
    <w:rsid w:val="004E7914"/>
    <w:rsid w:val="00546C5A"/>
    <w:rsid w:val="00557970"/>
    <w:rsid w:val="0057270A"/>
    <w:rsid w:val="005F0270"/>
    <w:rsid w:val="0067415F"/>
    <w:rsid w:val="006847F1"/>
    <w:rsid w:val="006C51B1"/>
    <w:rsid w:val="006D7A35"/>
    <w:rsid w:val="006E29C4"/>
    <w:rsid w:val="006F2DBE"/>
    <w:rsid w:val="00750CE3"/>
    <w:rsid w:val="007769A6"/>
    <w:rsid w:val="00780571"/>
    <w:rsid w:val="00782F9E"/>
    <w:rsid w:val="00785AC2"/>
    <w:rsid w:val="007C01C2"/>
    <w:rsid w:val="007C54E9"/>
    <w:rsid w:val="007E733B"/>
    <w:rsid w:val="00816186"/>
    <w:rsid w:val="008256B0"/>
    <w:rsid w:val="00914EE9"/>
    <w:rsid w:val="00977CE4"/>
    <w:rsid w:val="009B075A"/>
    <w:rsid w:val="00A92F8E"/>
    <w:rsid w:val="00AB2BA9"/>
    <w:rsid w:val="00B40882"/>
    <w:rsid w:val="00B634D0"/>
    <w:rsid w:val="00C01179"/>
    <w:rsid w:val="00C34BF7"/>
    <w:rsid w:val="00C45860"/>
    <w:rsid w:val="00C501F9"/>
    <w:rsid w:val="00C749F5"/>
    <w:rsid w:val="00D94E29"/>
    <w:rsid w:val="00DF37DA"/>
    <w:rsid w:val="00E30440"/>
    <w:rsid w:val="00E87F58"/>
    <w:rsid w:val="00E91F59"/>
    <w:rsid w:val="00ED38F2"/>
    <w:rsid w:val="00EE671F"/>
    <w:rsid w:val="00EF5C19"/>
    <w:rsid w:val="00F860AA"/>
    <w:rsid w:val="00F90D31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3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82"/>
    <w:pPr>
      <w:ind w:left="720"/>
      <w:contextualSpacing/>
    </w:pPr>
  </w:style>
  <w:style w:type="table" w:styleId="TableGrid">
    <w:name w:val="Table Grid"/>
    <w:basedOn w:val="TableNormal"/>
    <w:uiPriority w:val="39"/>
    <w:rsid w:val="0055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79"/>
  </w:style>
  <w:style w:type="paragraph" w:styleId="Footer">
    <w:name w:val="footer"/>
    <w:basedOn w:val="Normal"/>
    <w:link w:val="FooterChar"/>
    <w:uiPriority w:val="99"/>
    <w:unhideWhenUsed/>
    <w:rsid w:val="00C0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79"/>
  </w:style>
  <w:style w:type="paragraph" w:styleId="BalloonText">
    <w:name w:val="Balloon Text"/>
    <w:basedOn w:val="Normal"/>
    <w:link w:val="BalloonTextChar"/>
    <w:uiPriority w:val="99"/>
    <w:semiHidden/>
    <w:unhideWhenUsed/>
    <w:rsid w:val="0078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1E95-014C-C843-B2E6-176BDA35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Orona</dc:creator>
  <cp:lastModifiedBy>Al Solano</cp:lastModifiedBy>
  <cp:revision>2</cp:revision>
  <cp:lastPrinted>2017-06-08T02:23:00Z</cp:lastPrinted>
  <dcterms:created xsi:type="dcterms:W3CDTF">2017-06-19T23:14:00Z</dcterms:created>
  <dcterms:modified xsi:type="dcterms:W3CDTF">2017-06-19T23:14:00Z</dcterms:modified>
</cp:coreProperties>
</file>